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BAD" w14:textId="77777777" w:rsidR="00F97CF1" w:rsidRPr="007E215A" w:rsidRDefault="002F33C0">
      <w:pPr>
        <w:pStyle w:val="Nzev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7E215A">
        <w:rPr>
          <w:rFonts w:ascii="Times New Roman" w:hAnsi="Times New Roman" w:cs="Times New Roman"/>
          <w:b/>
          <w:bCs/>
          <w:sz w:val="48"/>
          <w:szCs w:val="48"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4A0DCC1F" w14:textId="4030D73A" w:rsidR="00F97CF1" w:rsidRPr="007E215A" w:rsidRDefault="00317938" w:rsidP="00317938">
      <w:pPr>
        <w:pStyle w:val="Bezmezer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E215A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7E215A" w:rsidRPr="007E215A">
        <w:rPr>
          <w:rFonts w:ascii="Times New Roman" w:hAnsi="Times New Roman" w:cs="Times New Roman"/>
          <w:b/>
          <w:bCs/>
          <w:sz w:val="32"/>
          <w:szCs w:val="32"/>
        </w:rPr>
        <w:t>Modernizace školní jídelny a kuchyně budovy základní školy Nádražní 683, Horní Slavkov</w:t>
      </w:r>
      <w:r w:rsidRPr="007E215A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4082BA39" w14:textId="77777777" w:rsidR="00317938" w:rsidRPr="009205A6" w:rsidRDefault="00317938" w:rsidP="00317938">
      <w:pPr>
        <w:pStyle w:val="Bezmezer"/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1BE719F6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V souladu s vyhlášenými podmínkami zadavatele ke shora uvedenému </w:t>
      </w:r>
      <w:r w:rsidR="00482368">
        <w:rPr>
          <w:rFonts w:ascii="Times New Roman" w:hAnsi="Times New Roman" w:cs="Times New Roman"/>
          <w:sz w:val="24"/>
          <w:szCs w:val="24"/>
        </w:rPr>
        <w:t>zadávacímu</w:t>
      </w:r>
      <w:r w:rsidRPr="009205A6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2E48A901" w14:textId="10A5F3EA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Tímto pro účely veřejné zakázky s názvem </w:t>
      </w:r>
      <w:r w:rsidR="00317938" w:rsidRPr="00317938">
        <w:rPr>
          <w:rFonts w:ascii="Times New Roman" w:hAnsi="Times New Roman" w:cs="Times New Roman"/>
          <w:sz w:val="24"/>
          <w:szCs w:val="24"/>
        </w:rPr>
        <w:t>„</w:t>
      </w:r>
      <w:r w:rsidR="007E215A" w:rsidRPr="007E215A">
        <w:rPr>
          <w:rFonts w:ascii="Times New Roman" w:hAnsi="Times New Roman" w:cs="Times New Roman"/>
          <w:b/>
          <w:bCs/>
          <w:sz w:val="24"/>
          <w:szCs w:val="24"/>
        </w:rPr>
        <w:t>Modernizace školní jídelny a kuchyně budovy základní školy Nádražní 683, Horní Slavkov</w:t>
      </w:r>
      <w:r w:rsidR="00317938" w:rsidRPr="00317938">
        <w:rPr>
          <w:rFonts w:ascii="Times New Roman" w:hAnsi="Times New Roman" w:cs="Times New Roman"/>
          <w:sz w:val="24"/>
          <w:szCs w:val="24"/>
        </w:rPr>
        <w:t>“</w:t>
      </w:r>
      <w:r w:rsidRPr="009205A6">
        <w:rPr>
          <w:rFonts w:ascii="Times New Roman" w:hAnsi="Times New Roman" w:cs="Times New Roman"/>
          <w:sz w:val="24"/>
          <w:szCs w:val="24"/>
        </w:rPr>
        <w:t xml:space="preserve">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6727D67F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</w:t>
      </w:r>
      <w:r w:rsidR="00B46C1F">
        <w:rPr>
          <w:rFonts w:ascii="Times New Roman" w:hAnsi="Times New Roman" w:cs="Times New Roman"/>
          <w:sz w:val="24"/>
          <w:szCs w:val="24"/>
        </w:rPr>
        <w:t>. Dodavatel prohlašuje, že:</w:t>
      </w:r>
    </w:p>
    <w:p w14:paraId="052E0D77" w14:textId="5DF9C8D8" w:rsidR="00B46C1F" w:rsidRPr="00B46C1F" w:rsidRDefault="00B46C1F" w:rsidP="00B46C1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v rozsahu více než 10 % nabídkové ceny,</w:t>
      </w:r>
    </w:p>
    <w:p w14:paraId="52C752B7" w14:textId="77777777" w:rsidR="00B46C1F" w:rsidRPr="00B46C1F" w:rsidRDefault="00B46C1F" w:rsidP="00B46C1F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není ruským státním příslušníkem, fyzickou či právnickou osobou nebo subjektem či orgánem se sídlem v Rusku,</w:t>
      </w:r>
    </w:p>
    <w:p w14:paraId="43BD1112" w14:textId="77777777" w:rsidR="00B46C1F" w:rsidRPr="00B46C1F" w:rsidRDefault="00B46C1F" w:rsidP="00B46C1F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není z více než 50 % přímo či nepřímo vlastněn některým ze subjektů uvedených v písmeni a), ani</w:t>
      </w:r>
    </w:p>
    <w:p w14:paraId="4744AA2B" w14:textId="77777777" w:rsidR="00B46C1F" w:rsidRPr="00B46C1F" w:rsidRDefault="00B46C1F" w:rsidP="00B46C1F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lastRenderedPageBreak/>
        <w:t>nejedná jménem nebo na pokyn některého ze subjektů uvedených v písmeni a) nebo b)</w:t>
      </w:r>
      <w:r w:rsidRPr="00B46C1F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B46C1F">
        <w:rPr>
          <w:rFonts w:ascii="Times New Roman" w:hAnsi="Times New Roman" w:cs="Times New Roman"/>
          <w:sz w:val="24"/>
          <w:szCs w:val="24"/>
        </w:rPr>
        <w:t>;</w:t>
      </w:r>
    </w:p>
    <w:p w14:paraId="3A9A4239" w14:textId="77777777" w:rsidR="00B46C1F" w:rsidRDefault="00B46C1F" w:rsidP="00B46C1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 nařízení Rady (EU) č. 208/2014, o omezujících opatřeních vůči některým osobám, subjektům, orgánům vzhledem k situaci na Ukrajině,  nebo nařízení Rady (ES) č. 765/2006 ze dne 18. května 2006 o omezujících opatřeních vůči prezidentu Lukašenkovi a některým představitelům Běloruska (ve znění pozdějších aktualizací)</w:t>
      </w:r>
      <w:r w:rsidRPr="00B46C1F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B46C1F">
        <w:rPr>
          <w:rFonts w:ascii="Times New Roman" w:hAnsi="Times New Roman" w:cs="Times New Roman"/>
          <w:sz w:val="24"/>
          <w:szCs w:val="24"/>
        </w:rPr>
        <w:t>;</w:t>
      </w:r>
    </w:p>
    <w:p w14:paraId="47D00DAD" w14:textId="3FAE7407" w:rsidR="00B46C1F" w:rsidRPr="00B46C1F" w:rsidRDefault="00B46C1F" w:rsidP="00B46C1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14:paraId="28F23CD3" w14:textId="77777777" w:rsidR="00B46C1F" w:rsidRDefault="00B4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59A8029" w14:textId="58BBE53B" w:rsidR="00F97CF1" w:rsidRPr="00414720" w:rsidRDefault="00162606" w:rsidP="00162606">
      <w:pPr>
        <w:pStyle w:val="Bezmezer"/>
        <w:ind w:left="921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F33C0">
        <w:rPr>
          <w:rFonts w:ascii="Times New Roman" w:hAnsi="Times New Roman" w:cs="Times New Roman"/>
          <w:sz w:val="24"/>
          <w:szCs w:val="24"/>
        </w:rPr>
        <w:t>odpis oprávněné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3C0"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7F011" w14:textId="77777777" w:rsidR="00724900" w:rsidRDefault="00724900">
      <w:pPr>
        <w:spacing w:after="0" w:line="240" w:lineRule="auto"/>
      </w:pPr>
      <w:r>
        <w:separator/>
      </w:r>
    </w:p>
  </w:endnote>
  <w:endnote w:type="continuationSeparator" w:id="0">
    <w:p w14:paraId="1EC8FBEB" w14:textId="77777777" w:rsidR="00724900" w:rsidRDefault="00724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6B200" w14:textId="77777777" w:rsidR="00724900" w:rsidRDefault="00724900">
      <w:pPr>
        <w:spacing w:after="0" w:line="240" w:lineRule="auto"/>
      </w:pPr>
      <w:r>
        <w:separator/>
      </w:r>
    </w:p>
  </w:footnote>
  <w:footnote w:type="continuationSeparator" w:id="0">
    <w:p w14:paraId="5704997A" w14:textId="77777777" w:rsidR="00724900" w:rsidRDefault="00724900">
      <w:pPr>
        <w:spacing w:after="0" w:line="240" w:lineRule="auto"/>
      </w:pPr>
      <w:r>
        <w:continuationSeparator/>
      </w:r>
    </w:p>
  </w:footnote>
  <w:footnote w:id="1">
    <w:p w14:paraId="24C80956" w14:textId="77777777" w:rsidR="00B46C1F" w:rsidRPr="00A31C84" w:rsidRDefault="00B46C1F" w:rsidP="00B46C1F">
      <w:pPr>
        <w:pStyle w:val="Textpoznpodarou"/>
      </w:pPr>
      <w:r w:rsidRPr="00A31C84">
        <w:rPr>
          <w:rStyle w:val="Znakapoznpodarou"/>
        </w:rPr>
        <w:footnoteRef/>
      </w:r>
      <w:r w:rsidRPr="00A31C84"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91AE5FC" w14:textId="77777777" w:rsidR="00B46C1F" w:rsidRPr="00A31C84" w:rsidRDefault="00B46C1F" w:rsidP="00B46C1F">
      <w:pPr>
        <w:pStyle w:val="Textpoznpodarou"/>
      </w:pPr>
      <w:r w:rsidRPr="00A31C84">
        <w:rPr>
          <w:rStyle w:val="Znakapoznpodarou"/>
        </w:rPr>
        <w:footnoteRef/>
      </w:r>
      <w:r w:rsidRPr="00A31C84">
        <w:t xml:space="preserve"> Aktualizovaný seznam sankcionovaných osob je uveden například na internetových stránkách Finančního analytického úřadu zde </w:t>
      </w:r>
      <w:hyperlink r:id="rId1" w:history="1">
        <w:r w:rsidRPr="00A31C84">
          <w:rPr>
            <w:rStyle w:val="Hypertextovodkaz"/>
          </w:rPr>
          <w:t>https://www.financnianalytickyurad.cz/blog/zarazeni-dalsich-osob-na-sankcni-seznam-proti-rusku</w:t>
        </w:r>
      </w:hyperlink>
      <w:r w:rsidRPr="00A31C8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083A" w14:textId="510E9E9E" w:rsidR="00F97CF1" w:rsidRPr="00486106" w:rsidRDefault="002F33C0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B265F2">
      <w:rPr>
        <w:rFonts w:ascii="Times New Roman" w:hAnsi="Times New Roman" w:cs="Times New Roman"/>
      </w:rPr>
      <w:t>7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 xml:space="preserve">VZ </w:t>
    </w:r>
    <w:r w:rsidR="00317938" w:rsidRPr="00317938">
      <w:rPr>
        <w:rFonts w:ascii="Times New Roman" w:hAnsi="Times New Roman" w:cs="Times New Roman"/>
      </w:rPr>
      <w:t>„</w:t>
    </w:r>
    <w:r w:rsidR="007E215A" w:rsidRPr="007E215A">
      <w:rPr>
        <w:rFonts w:ascii="Times New Roman" w:hAnsi="Times New Roman" w:cs="Times New Roman"/>
      </w:rPr>
      <w:t>Modernizace školní jídelny a kuchyně budovy základní školy Nádražní 683, Horní Slavkov</w:t>
    </w:r>
    <w:r w:rsidR="00317938" w:rsidRPr="00317938">
      <w:rPr>
        <w:rFonts w:ascii="Times New Roman" w:hAnsi="Times New Roman" w:cs="Times New Roman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3"/>
  </w:num>
  <w:num w:numId="2" w16cid:durableId="279848874">
    <w:abstractNumId w:val="4"/>
  </w:num>
  <w:num w:numId="3" w16cid:durableId="766999712">
    <w:abstractNumId w:val="1"/>
  </w:num>
  <w:num w:numId="4" w16cid:durableId="642274144">
    <w:abstractNumId w:val="2"/>
  </w:num>
  <w:num w:numId="5" w16cid:durableId="905797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22BB3"/>
    <w:rsid w:val="000E0A13"/>
    <w:rsid w:val="00100A07"/>
    <w:rsid w:val="00162606"/>
    <w:rsid w:val="001B23CB"/>
    <w:rsid w:val="001D6153"/>
    <w:rsid w:val="002F33C0"/>
    <w:rsid w:val="00301C00"/>
    <w:rsid w:val="00317938"/>
    <w:rsid w:val="00325568"/>
    <w:rsid w:val="003A103E"/>
    <w:rsid w:val="003E2CBA"/>
    <w:rsid w:val="00414720"/>
    <w:rsid w:val="004328EB"/>
    <w:rsid w:val="00457E5B"/>
    <w:rsid w:val="00482368"/>
    <w:rsid w:val="00486106"/>
    <w:rsid w:val="004D313A"/>
    <w:rsid w:val="00533238"/>
    <w:rsid w:val="005802C6"/>
    <w:rsid w:val="005970CB"/>
    <w:rsid w:val="005B690A"/>
    <w:rsid w:val="006363E6"/>
    <w:rsid w:val="0068010F"/>
    <w:rsid w:val="006D0DF8"/>
    <w:rsid w:val="006D3279"/>
    <w:rsid w:val="006D512A"/>
    <w:rsid w:val="006E04B7"/>
    <w:rsid w:val="00700D38"/>
    <w:rsid w:val="007230BF"/>
    <w:rsid w:val="00723B3B"/>
    <w:rsid w:val="00724900"/>
    <w:rsid w:val="007576AF"/>
    <w:rsid w:val="00776147"/>
    <w:rsid w:val="007860F4"/>
    <w:rsid w:val="007A46B9"/>
    <w:rsid w:val="007E215A"/>
    <w:rsid w:val="008E0985"/>
    <w:rsid w:val="008E4220"/>
    <w:rsid w:val="008F1816"/>
    <w:rsid w:val="009205A6"/>
    <w:rsid w:val="009637C8"/>
    <w:rsid w:val="009678CF"/>
    <w:rsid w:val="00994CEC"/>
    <w:rsid w:val="009A4FC8"/>
    <w:rsid w:val="009D066C"/>
    <w:rsid w:val="00AE43D7"/>
    <w:rsid w:val="00AF4D9E"/>
    <w:rsid w:val="00B066EC"/>
    <w:rsid w:val="00B104CF"/>
    <w:rsid w:val="00B265F2"/>
    <w:rsid w:val="00B46C1F"/>
    <w:rsid w:val="00C07BD0"/>
    <w:rsid w:val="00C3280D"/>
    <w:rsid w:val="00C70CFE"/>
    <w:rsid w:val="00C859EA"/>
    <w:rsid w:val="00C9647F"/>
    <w:rsid w:val="00CB3C00"/>
    <w:rsid w:val="00CC4F9B"/>
    <w:rsid w:val="00CE6F4B"/>
    <w:rsid w:val="00CF398A"/>
    <w:rsid w:val="00D77377"/>
    <w:rsid w:val="00DB316B"/>
    <w:rsid w:val="00DD33F6"/>
    <w:rsid w:val="00E52432"/>
    <w:rsid w:val="00E5325A"/>
    <w:rsid w:val="00E855F2"/>
    <w:rsid w:val="00ED20AE"/>
    <w:rsid w:val="00EF1767"/>
    <w:rsid w:val="00F03D19"/>
    <w:rsid w:val="00F6609B"/>
    <w:rsid w:val="00F9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2681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2025-11-25T10:03:00Z</dcterms:modified>
</cp:coreProperties>
</file>